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7E39D05D" w14:textId="4CC1721B" w:rsidR="003F763D" w:rsidRPr="008E6A51" w:rsidRDefault="008E6A51" w:rsidP="00595191">
            <w:pPr>
              <w:spacing w:before="40" w:after="40" w:line="240" w:lineRule="auto"/>
              <w:jc w:val="center"/>
              <w:rPr>
                <w:rFonts w:ascii="Times New Roman" w:hAnsi="Times New Roman" w:cs="Times New Roman"/>
                <w:b/>
                <w:color w:val="000000" w:themeColor="text1"/>
                <w:sz w:val="26"/>
                <w:lang w:val="en-US"/>
              </w:rPr>
            </w:pPr>
            <w:r w:rsidRPr="008E6A51">
              <w:rPr>
                <w:rFonts w:ascii="Times New Roman" w:hAnsi="Times New Roman" w:cs="Times New Roman"/>
                <w:b/>
                <w:color w:val="000000" w:themeColor="text1"/>
                <w:sz w:val="26"/>
                <w:lang w:val="en-US"/>
              </w:rPr>
              <w:t>ỦY BAN NHÂN DÂN</w:t>
            </w:r>
          </w:p>
          <w:p w14:paraId="344366F4" w14:textId="02B3800A" w:rsidR="008E6A51" w:rsidRPr="008E6A51" w:rsidRDefault="008E6A51" w:rsidP="00595191">
            <w:pPr>
              <w:spacing w:before="40" w:after="40" w:line="240" w:lineRule="auto"/>
              <w:jc w:val="center"/>
              <w:rPr>
                <w:rFonts w:ascii="Times New Roman" w:hAnsi="Times New Roman" w:cs="Times New Roman"/>
                <w:b/>
                <w:color w:val="000000" w:themeColor="text1"/>
                <w:sz w:val="26"/>
                <w:lang w:val="en-US"/>
              </w:rPr>
            </w:pPr>
            <w:r w:rsidRPr="008E6A51">
              <w:rPr>
                <w:rFonts w:ascii="Times New Roman" w:hAnsi="Times New Roman" w:cs="Times New Roman"/>
                <w:b/>
                <w:color w:val="000000" w:themeColor="text1"/>
                <w:sz w:val="26"/>
                <w:lang w:val="en-US"/>
              </w:rPr>
              <w:t>THỊ TRẤN KỲ ĐỒNG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0750E4D5" w:rsidR="003F763D" w:rsidRPr="00595191" w:rsidRDefault="008E6A51"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4C942855">
                      <wp:simplePos x="0" y="0"/>
                      <wp:positionH relativeFrom="column">
                        <wp:posOffset>774700</wp:posOffset>
                      </wp:positionH>
                      <wp:positionV relativeFrom="paragraph">
                        <wp:posOffset>213360</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1pt;margin-top:16.8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"/>
                  </w:pict>
                </mc:Fallback>
              </mc:AlternateContent>
            </w:r>
            <w:r w:rsidR="003F763D" w:rsidRPr="00595191">
              <w:rPr>
                <w:rFonts w:ascii="Times New Roman" w:hAnsi="Times New Roman" w:cs="Times New Roman"/>
                <w:b/>
                <w:color w:val="000000" w:themeColor="text1"/>
                <w:sz w:val="28"/>
                <w:szCs w:val="28"/>
              </w:rPr>
              <w:t>Độc lập - Tự do - Hạnh phúc</w:t>
            </w:r>
          </w:p>
          <w:p w14:paraId="0C0FCDDA" w14:textId="3DDAA0A0" w:rsidR="003F763D" w:rsidRPr="00595191" w:rsidRDefault="003F763D" w:rsidP="00595191">
            <w:pPr>
              <w:spacing w:before="40" w:after="40" w:line="240" w:lineRule="auto"/>
              <w:jc w:val="center"/>
              <w:rPr>
                <w:rFonts w:ascii="Times New Roman" w:hAnsi="Times New Roman" w:cs="Times New Roman"/>
                <w:i/>
                <w:color w:val="000000" w:themeColor="text1"/>
              </w:rPr>
            </w:pP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3B43C46B"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4</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03EF4CC6"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8E6A51">
        <w:rPr>
          <w:rFonts w:ascii="Times New Roman" w:hAnsi="Times New Roman" w:cs="Times New Roman"/>
          <w:color w:val="000000" w:themeColor="text1"/>
          <w:sz w:val="28"/>
          <w:szCs w:val="28"/>
          <w:lang w:val="en-US"/>
        </w:rPr>
        <w:t>4</w:t>
      </w:r>
      <w:r w:rsidR="000869DA" w:rsidRPr="00F12C4D">
        <w:rPr>
          <w:rFonts w:ascii="Times New Roman" w:hAnsi="Times New Roman" w:cs="Times New Roman"/>
          <w:color w:val="000000" w:themeColor="text1"/>
          <w:sz w:val="28"/>
          <w:szCs w:val="28"/>
        </w:rPr>
        <w:t>/2025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9"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10" w:tgtFrame="_blank" w:history="1">
        <w:bookmarkStart w:id="0" w:name="_Hlk186575281"/>
        <w:r w:rsidR="00595191" w:rsidRPr="00F12C4D">
          <w:rPr>
            <w:rFonts w:cs="Times New Roman"/>
            <w:color w:val="000000" w:themeColor="text1"/>
          </w:rPr>
          <w:t xml:space="preserve"> </w:t>
        </w:r>
        <w:bookmarkEnd w:id="0"/>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1"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2"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3"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cá nhân được cấp chứng thư chữ ký điện tử, bao gồm tên cơ quan, tổ chức, cá nhân; mã/số định danh của cơ quan, tổ chức, cá 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hoạch 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w:t>
      </w:r>
      <w:r w:rsidRPr="00F12C4D">
        <w:rPr>
          <w:color w:val="000000" w:themeColor="text1"/>
          <w:sz w:val="28"/>
          <w:szCs w:val="18"/>
          <w:lang w:val="vi-VN"/>
        </w:rPr>
        <w:lastRenderedPageBreak/>
        <w:t>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Cụ thể, theo khoản 4 Điều 93 </w:t>
      </w:r>
      <w:hyperlink r:id="rId14"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Thông tư 04/2025/TT-BGDĐT quy định về kiểm định chất lượng chương trình đào tạo các trình độ của giáo dục đại học, bao gồm: bộ tiêu chuẩn đánh giá </w:t>
      </w:r>
      <w:r w:rsidRPr="00F12C4D">
        <w:rPr>
          <w:color w:val="000000" w:themeColor="text1"/>
          <w:sz w:val="28"/>
          <w:szCs w:val="18"/>
          <w:lang w:val="vi-VN"/>
        </w:rPr>
        <w:lastRenderedPageBreak/>
        <w:t>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lễ, tết và các ngày nghỉ khác theo quy định của </w:t>
      </w:r>
      <w:hyperlink r:id="rId15"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6"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Căn cứ kế hoạch năm học, quy mô, đặc điểm, điều kiện cụ thể của từng trường, hiệu trưởng bố trí thời gian nghỉ hằng năm của giáo viên phù hợp, đúng quy định, bảo đảm khung thời gian năm học.</w:t>
      </w:r>
    </w:p>
    <w:p w14:paraId="33B30DA5" w14:textId="2BDBAD04" w:rsidR="009659C9"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7829B6C6" w:rsidR="00A11AC3" w:rsidRPr="00574023"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574023">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574023">
        <w:rPr>
          <w:rFonts w:ascii="Times New Roman" w:hAnsi="Times New Roman" w:cs="Times New Roman"/>
          <w:b/>
          <w:color w:val="000000" w:themeColor="text1"/>
          <w:sz w:val="28"/>
          <w:szCs w:val="28"/>
          <w:lang w:val="en-US"/>
        </w:rPr>
        <w:t>ỦY BAN NHÂN DÂN THỊ TRẤN KỲ ĐỒNG</w:t>
      </w:r>
    </w:p>
    <w:p w14:paraId="5D507674" w14:textId="77777777" w:rsidR="0096090F" w:rsidRPr="00595191" w:rsidRDefault="0096090F" w:rsidP="00595191">
      <w:pPr>
        <w:spacing w:after="0"/>
        <w:jc w:val="both"/>
        <w:rPr>
          <w:rFonts w:ascii="Times New Roman" w:hAnsi="Times New Roman" w:cs="Times New Roman"/>
          <w:color w:val="000000" w:themeColor="text1"/>
        </w:rPr>
      </w:pPr>
      <w:bookmarkStart w:id="1" w:name="_GoBack"/>
      <w:bookmarkEnd w:id="1"/>
    </w:p>
    <w:sectPr w:rsidR="0096090F" w:rsidRPr="00595191" w:rsidSect="00574023">
      <w:headerReference w:type="default" r:id="rId17"/>
      <w:footerReference w:type="default" r:id="rId18"/>
      <w:pgSz w:w="11906" w:h="16838"/>
      <w:pgMar w:top="1134" w:right="1134" w:bottom="810" w:left="1701"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C50FC" w14:textId="77777777" w:rsidR="004E6FA1" w:rsidRDefault="004E6FA1" w:rsidP="007137D4">
      <w:pPr>
        <w:spacing w:after="0" w:line="240" w:lineRule="auto"/>
      </w:pPr>
      <w:r>
        <w:separator/>
      </w:r>
    </w:p>
  </w:endnote>
  <w:endnote w:type="continuationSeparator" w:id="0">
    <w:p w14:paraId="162C8E17" w14:textId="77777777" w:rsidR="004E6FA1" w:rsidRDefault="004E6FA1"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55A91BB6"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326978">
          <w:rPr>
            <w:rFonts w:ascii="Times New Roman" w:hAnsi="Times New Roman" w:cs="Times New Roman"/>
            <w:noProof/>
            <w:sz w:val="24"/>
          </w:rPr>
          <w:t>9</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58F51" w14:textId="77777777" w:rsidR="004E6FA1" w:rsidRDefault="004E6FA1" w:rsidP="007137D4">
      <w:pPr>
        <w:spacing w:after="0" w:line="240" w:lineRule="auto"/>
      </w:pPr>
      <w:r>
        <w:separator/>
      </w:r>
    </w:p>
  </w:footnote>
  <w:footnote w:type="continuationSeparator" w:id="0">
    <w:p w14:paraId="45A2AFCA" w14:textId="77777777" w:rsidR="004E6FA1" w:rsidRDefault="004E6FA1"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978"/>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4F1B"/>
    <w:rsid w:val="004D5EE0"/>
    <w:rsid w:val="004D7D26"/>
    <w:rsid w:val="004E0059"/>
    <w:rsid w:val="004E2FA6"/>
    <w:rsid w:val="004E58AD"/>
    <w:rsid w:val="004E6FA1"/>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74023"/>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6A51"/>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Dau-tu/Luat-Dau-tu-cong-2024-so-58-2024-QH15-621645.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uvienphapluat.vn/van-ban/Tai-chinh-nha-nuoc/Luat-ngan-sach-nha-nuoc-nam-2015-28176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huvienphapluat.vn/van-ban/Bao-hiem/Luat-Bao-hiem-xa-hoi-2014-259700.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Luat-Dau-tu-cong-2024-so-58-2024-QH15-621645.aspx" TargetMode="External"/><Relationship Id="rId5" Type="http://schemas.openxmlformats.org/officeDocument/2006/relationships/settings" Target="settings.xml"/><Relationship Id="rId15" Type="http://schemas.openxmlformats.org/officeDocument/2006/relationships/hyperlink" Target="https://thuvienphapluat.vn/van-ban/Lao-dong-Tien-luong/Bo-Luat-lao-dong-2019-333670.aspx" TargetMode="External"/><Relationship Id="rId10" Type="http://schemas.openxmlformats.org/officeDocument/2006/relationships/hyperlink" Target="https://thuvienphapluat.vn/bulletin/document.aspx?key=ziwWjg%2b3jwfnu5FjFC4%2bjQ%3d%3d&amp;bid=91a4a291-ef2e-45fa-a7b7-b8ba20ee262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huvienphapluat.vn/van-ban/Bo-may-hanh-chinh/Luat-ban-hanh-van-ban-quy-pham-phap-luat-2025-so-64-2025-QH15-639239.aspx" TargetMode="External"/><Relationship Id="rId14" Type="http://schemas.openxmlformats.org/officeDocument/2006/relationships/hyperlink" Target="https://thuvienphapluat.vn/van-ban/Doanh-nghiep/Luat-canh-tranh-34518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40E2C-91C6-47F0-9BFE-58CD554C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2024-01-31T07:08:00Z</cp:lastPrinted>
  <dcterms:created xsi:type="dcterms:W3CDTF">2025-04-02T03:18:00Z</dcterms:created>
  <dcterms:modified xsi:type="dcterms:W3CDTF">2025-04-02T03:18:00Z</dcterms:modified>
</cp:coreProperties>
</file>